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FE53" w14:textId="77777777" w:rsidR="00EB3474" w:rsidRPr="007A21E6" w:rsidRDefault="00EB3474" w:rsidP="00EB3474">
      <w:pPr>
        <w:pStyle w:val="NormalWeb"/>
        <w:spacing w:before="0" w:beforeAutospacing="0" w:after="0" w:afterAutospacing="0" w:line="324" w:lineRule="atLeast"/>
        <w:rPr>
          <w:rFonts w:ascii="Arial" w:hAnsi="Arial" w:cs="Arial"/>
          <w:sz w:val="24"/>
          <w:szCs w:val="24"/>
        </w:rPr>
      </w:pPr>
    </w:p>
    <w:p w14:paraId="6BB09EC0" w14:textId="4C89EC7E" w:rsidR="00EB3474" w:rsidRPr="007A21E6" w:rsidRDefault="00EB3474" w:rsidP="00EB3474">
      <w:pPr>
        <w:pStyle w:val="NormalWeb"/>
        <w:spacing w:before="0" w:beforeAutospacing="0" w:after="0" w:afterAutospacing="0" w:line="324" w:lineRule="atLeast"/>
        <w:rPr>
          <w:rStyle w:val="s2"/>
          <w:rFonts w:ascii="Arial" w:hAnsi="Arial" w:cs="Arial"/>
          <w:b/>
          <w:bCs/>
          <w:sz w:val="24"/>
          <w:szCs w:val="24"/>
        </w:rPr>
      </w:pPr>
      <w:r w:rsidRPr="007A21E6">
        <w:rPr>
          <w:rStyle w:val="s2"/>
          <w:rFonts w:ascii="Arial" w:hAnsi="Arial" w:cs="Arial"/>
          <w:b/>
          <w:bCs/>
          <w:sz w:val="24"/>
          <w:szCs w:val="24"/>
        </w:rPr>
        <w:t>Spotlight #</w:t>
      </w:r>
      <w:r w:rsidR="00896DD1" w:rsidRPr="007A21E6">
        <w:rPr>
          <w:rStyle w:val="s2"/>
          <w:rFonts w:ascii="Arial" w:hAnsi="Arial" w:cs="Arial"/>
          <w:b/>
          <w:bCs/>
          <w:sz w:val="24"/>
          <w:szCs w:val="24"/>
        </w:rPr>
        <w:t>2</w:t>
      </w:r>
      <w:r w:rsidRPr="007A21E6">
        <w:rPr>
          <w:rStyle w:val="s2"/>
          <w:rFonts w:ascii="Arial" w:hAnsi="Arial" w:cs="Arial"/>
          <w:b/>
          <w:bCs/>
          <w:sz w:val="24"/>
          <w:szCs w:val="24"/>
        </w:rPr>
        <w:t> on Affordable Housing</w:t>
      </w:r>
      <w:r w:rsidR="00896DD1" w:rsidRPr="007A21E6">
        <w:rPr>
          <w:rStyle w:val="s2"/>
          <w:rFonts w:ascii="Arial" w:hAnsi="Arial" w:cs="Arial"/>
          <w:b/>
          <w:bCs/>
          <w:sz w:val="24"/>
          <w:szCs w:val="24"/>
        </w:rPr>
        <w:t xml:space="preserve"> – Key Definitions</w:t>
      </w:r>
    </w:p>
    <w:p w14:paraId="408EC7C3" w14:textId="50C3DCEB" w:rsidR="00EB3474" w:rsidRPr="007A21E6" w:rsidRDefault="00EB3474" w:rsidP="00EB3474">
      <w:pPr>
        <w:pStyle w:val="NormalWeb"/>
        <w:spacing w:before="0" w:beforeAutospacing="0" w:after="0" w:afterAutospacing="0" w:line="324" w:lineRule="atLeast"/>
        <w:rPr>
          <w:rStyle w:val="s2"/>
          <w:rFonts w:ascii="Arial" w:hAnsi="Arial" w:cs="Arial"/>
          <w:b/>
          <w:bCs/>
          <w:sz w:val="24"/>
          <w:szCs w:val="24"/>
        </w:rPr>
      </w:pPr>
    </w:p>
    <w:p w14:paraId="04FF13FE" w14:textId="0D375A0A" w:rsidR="00B17C05" w:rsidRPr="007A21E6" w:rsidRDefault="00B17C05" w:rsidP="00EB3474">
      <w:pPr>
        <w:pStyle w:val="NormalWeb"/>
        <w:spacing w:before="0" w:beforeAutospacing="0" w:after="0" w:afterAutospacing="0" w:line="324" w:lineRule="atLeast"/>
        <w:rPr>
          <w:rStyle w:val="s2"/>
          <w:rFonts w:ascii="Arial" w:hAnsi="Arial" w:cs="Arial"/>
          <w:sz w:val="24"/>
          <w:szCs w:val="24"/>
        </w:rPr>
      </w:pPr>
      <w:r w:rsidRPr="007A21E6">
        <w:rPr>
          <w:rStyle w:val="s2"/>
          <w:rFonts w:ascii="Arial" w:hAnsi="Arial" w:cs="Arial"/>
          <w:sz w:val="24"/>
          <w:szCs w:val="24"/>
        </w:rPr>
        <w:t>Affordable housing can be very technical</w:t>
      </w:r>
      <w:r w:rsidR="00567935" w:rsidRPr="007A21E6">
        <w:rPr>
          <w:rStyle w:val="s2"/>
          <w:rFonts w:ascii="Arial" w:hAnsi="Arial" w:cs="Arial"/>
          <w:sz w:val="24"/>
          <w:szCs w:val="24"/>
        </w:rPr>
        <w:t>, which can make it seem overwhelming at times</w:t>
      </w:r>
      <w:r w:rsidRPr="007A21E6">
        <w:rPr>
          <w:rStyle w:val="s2"/>
          <w:rFonts w:ascii="Arial" w:hAnsi="Arial" w:cs="Arial"/>
          <w:sz w:val="24"/>
          <w:szCs w:val="24"/>
        </w:rPr>
        <w:t xml:space="preserve">.  </w:t>
      </w:r>
      <w:r w:rsidR="00EA59DF" w:rsidRPr="007A21E6">
        <w:rPr>
          <w:rStyle w:val="s2"/>
          <w:rFonts w:ascii="Arial" w:hAnsi="Arial" w:cs="Arial"/>
          <w:sz w:val="24"/>
          <w:szCs w:val="24"/>
        </w:rPr>
        <w:t>T</w:t>
      </w:r>
      <w:r w:rsidRPr="007A21E6">
        <w:rPr>
          <w:rStyle w:val="s2"/>
          <w:rFonts w:ascii="Arial" w:hAnsi="Arial" w:cs="Arial"/>
          <w:sz w:val="24"/>
          <w:szCs w:val="24"/>
        </w:rPr>
        <w:t>his week</w:t>
      </w:r>
      <w:r w:rsidR="00567935" w:rsidRPr="007A21E6">
        <w:rPr>
          <w:rStyle w:val="s2"/>
          <w:rFonts w:ascii="Arial" w:hAnsi="Arial" w:cs="Arial"/>
          <w:sz w:val="24"/>
          <w:szCs w:val="24"/>
        </w:rPr>
        <w:t>, to help clear things up, we are</w:t>
      </w:r>
      <w:r w:rsidRPr="007A21E6">
        <w:rPr>
          <w:rStyle w:val="s2"/>
          <w:rFonts w:ascii="Arial" w:hAnsi="Arial" w:cs="Arial"/>
          <w:sz w:val="24"/>
          <w:szCs w:val="24"/>
        </w:rPr>
        <w:t xml:space="preserve"> defining some key terms that will be used in future spotlights</w:t>
      </w:r>
      <w:r w:rsidR="00567935" w:rsidRPr="007A21E6">
        <w:rPr>
          <w:rStyle w:val="s2"/>
          <w:rFonts w:ascii="Arial" w:hAnsi="Arial" w:cs="Arial"/>
          <w:sz w:val="24"/>
          <w:szCs w:val="24"/>
        </w:rPr>
        <w:t xml:space="preserve"> and come up regularly when people talk about affordable housing.</w:t>
      </w:r>
    </w:p>
    <w:p w14:paraId="66AA8168" w14:textId="77777777" w:rsidR="00B17C05" w:rsidRPr="007A21E6" w:rsidRDefault="00B17C05" w:rsidP="00EB3474">
      <w:pPr>
        <w:pStyle w:val="NormalWeb"/>
        <w:spacing w:before="0" w:beforeAutospacing="0" w:after="0" w:afterAutospacing="0" w:line="324" w:lineRule="atLeast"/>
        <w:rPr>
          <w:rStyle w:val="s2"/>
          <w:rFonts w:ascii="Arial" w:hAnsi="Arial" w:cs="Arial"/>
          <w:b/>
          <w:bCs/>
          <w:sz w:val="24"/>
          <w:szCs w:val="24"/>
        </w:rPr>
      </w:pPr>
    </w:p>
    <w:p w14:paraId="31457D46" w14:textId="77777777" w:rsidR="00B17C05" w:rsidRPr="007A21E6" w:rsidRDefault="00B17C05" w:rsidP="00B17C05">
      <w:pPr>
        <w:rPr>
          <w:rStyle w:val="s2"/>
          <w:rFonts w:ascii="Arial" w:hAnsi="Arial" w:cs="Arial"/>
          <w:b/>
          <w:bCs/>
          <w:sz w:val="24"/>
          <w:szCs w:val="24"/>
          <w:lang w:eastAsia="en-CA"/>
        </w:rPr>
      </w:pPr>
      <w:r w:rsidRPr="007A21E6">
        <w:rPr>
          <w:rStyle w:val="s2"/>
          <w:rFonts w:ascii="Arial" w:hAnsi="Arial" w:cs="Arial"/>
          <w:b/>
          <w:bCs/>
          <w:sz w:val="24"/>
          <w:szCs w:val="24"/>
          <w:lang w:eastAsia="en-CA"/>
        </w:rPr>
        <w:t>Key Definitions:</w:t>
      </w:r>
    </w:p>
    <w:p w14:paraId="5F498F68" w14:textId="66DF09EC" w:rsidR="00DB6B3D" w:rsidRPr="007A21E6" w:rsidRDefault="00B17C05" w:rsidP="00DB6B3D">
      <w:pPr>
        <w:rPr>
          <w:rFonts w:ascii="Arial" w:hAnsi="Arial" w:cs="Arial"/>
          <w:sz w:val="24"/>
          <w:szCs w:val="24"/>
        </w:rPr>
      </w:pPr>
      <w:r w:rsidRPr="007A21E6">
        <w:rPr>
          <w:rStyle w:val="s2"/>
          <w:rFonts w:ascii="Arial" w:hAnsi="Arial" w:cs="Arial"/>
          <w:b/>
          <w:bCs/>
          <w:sz w:val="24"/>
          <w:szCs w:val="24"/>
          <w:lang w:eastAsia="en-CA"/>
        </w:rPr>
        <w:t>Affordable Housing:</w:t>
      </w:r>
      <w:r w:rsidRPr="007A21E6">
        <w:rPr>
          <w:rStyle w:val="s2"/>
          <w:rFonts w:ascii="Arial" w:hAnsi="Arial" w:cs="Arial"/>
          <w:sz w:val="24"/>
          <w:szCs w:val="24"/>
          <w:lang w:eastAsia="en-CA"/>
        </w:rPr>
        <w:t xml:space="preserve"> </w:t>
      </w:r>
      <w:r w:rsidR="00DB6B3D" w:rsidRPr="007A21E6">
        <w:rPr>
          <w:rFonts w:ascii="Arial" w:hAnsi="Arial" w:cs="Arial"/>
          <w:sz w:val="24"/>
          <w:szCs w:val="24"/>
        </w:rPr>
        <w:t xml:space="preserve">Affordable housing can have different meanings for different people and organizations.  When the Municipality refers to “Affordable Housing”, it is a specific definition from the Provincial Policy Statement (PPS) 2020 as follows: </w:t>
      </w:r>
    </w:p>
    <w:p w14:paraId="240F7E1F" w14:textId="77777777" w:rsidR="00DB6B3D" w:rsidRPr="007A21E6" w:rsidRDefault="00DB6B3D" w:rsidP="00DB6B3D">
      <w:pPr>
        <w:pStyle w:val="ListParagraph"/>
        <w:rPr>
          <w:rFonts w:ascii="Arial" w:hAnsi="Arial" w:cs="Arial"/>
          <w:sz w:val="24"/>
          <w:szCs w:val="24"/>
        </w:rPr>
      </w:pPr>
      <w:r w:rsidRPr="007A21E6">
        <w:rPr>
          <w:rFonts w:ascii="Arial" w:hAnsi="Arial" w:cs="Arial"/>
          <w:sz w:val="24"/>
          <w:szCs w:val="24"/>
        </w:rPr>
        <w:t xml:space="preserve">In the case of </w:t>
      </w:r>
      <w:r w:rsidRPr="007A21E6">
        <w:rPr>
          <w:rFonts w:ascii="Arial" w:hAnsi="Arial" w:cs="Arial"/>
          <w:b/>
          <w:bCs/>
          <w:sz w:val="24"/>
          <w:szCs w:val="24"/>
        </w:rPr>
        <w:t>ownership housing</w:t>
      </w:r>
      <w:r w:rsidRPr="007A21E6">
        <w:rPr>
          <w:rFonts w:ascii="Arial" w:hAnsi="Arial" w:cs="Arial"/>
          <w:sz w:val="24"/>
          <w:szCs w:val="24"/>
        </w:rPr>
        <w:t xml:space="preserve">, the least expensive of: </w:t>
      </w:r>
    </w:p>
    <w:p w14:paraId="01662FFA" w14:textId="77777777" w:rsidR="00DB6B3D" w:rsidRPr="007A21E6" w:rsidRDefault="00DB6B3D" w:rsidP="00DB6B3D">
      <w:pPr>
        <w:pStyle w:val="ListParagraph"/>
        <w:numPr>
          <w:ilvl w:val="1"/>
          <w:numId w:val="3"/>
        </w:numPr>
        <w:contextualSpacing/>
        <w:rPr>
          <w:rFonts w:ascii="Arial" w:hAnsi="Arial" w:cs="Arial"/>
          <w:sz w:val="24"/>
          <w:szCs w:val="24"/>
        </w:rPr>
      </w:pPr>
      <w:r w:rsidRPr="007A21E6">
        <w:rPr>
          <w:rFonts w:ascii="Arial" w:hAnsi="Arial" w:cs="Arial"/>
          <w:sz w:val="24"/>
          <w:szCs w:val="24"/>
        </w:rPr>
        <w:t>Housing for which the purchase price results in annual accommodation costs which do not exceed 30 percent of gross annual household income for low and moderate income households; or</w:t>
      </w:r>
    </w:p>
    <w:p w14:paraId="484B2C96" w14:textId="77777777" w:rsidR="00DB6B3D" w:rsidRPr="007A21E6" w:rsidRDefault="00DB6B3D" w:rsidP="00DB6B3D">
      <w:pPr>
        <w:pStyle w:val="ListParagraph"/>
        <w:numPr>
          <w:ilvl w:val="1"/>
          <w:numId w:val="3"/>
        </w:numPr>
        <w:contextualSpacing/>
        <w:rPr>
          <w:rFonts w:ascii="Arial" w:hAnsi="Arial" w:cs="Arial"/>
          <w:sz w:val="24"/>
          <w:szCs w:val="24"/>
        </w:rPr>
      </w:pPr>
      <w:r w:rsidRPr="007A21E6">
        <w:rPr>
          <w:rFonts w:ascii="Arial" w:hAnsi="Arial" w:cs="Arial"/>
          <w:sz w:val="24"/>
          <w:szCs w:val="24"/>
        </w:rPr>
        <w:t>Housing for which the purchase price is at least 10 percent below the average purchase price of a resale unit in the regional market area.</w:t>
      </w:r>
    </w:p>
    <w:p w14:paraId="06FA5B20" w14:textId="77777777" w:rsidR="00DB6B3D" w:rsidRPr="007A21E6" w:rsidRDefault="00DB6B3D" w:rsidP="00DB6B3D">
      <w:pPr>
        <w:ind w:firstLine="720"/>
        <w:rPr>
          <w:rFonts w:ascii="Arial" w:hAnsi="Arial" w:cs="Arial"/>
          <w:sz w:val="24"/>
          <w:szCs w:val="24"/>
        </w:rPr>
      </w:pPr>
    </w:p>
    <w:p w14:paraId="4D869764" w14:textId="77777777" w:rsidR="00DB6B3D" w:rsidRPr="007A21E6" w:rsidRDefault="00DB6B3D" w:rsidP="00DB6B3D">
      <w:pPr>
        <w:ind w:firstLine="720"/>
        <w:rPr>
          <w:rFonts w:ascii="Arial" w:hAnsi="Arial" w:cs="Arial"/>
          <w:sz w:val="24"/>
          <w:szCs w:val="24"/>
        </w:rPr>
      </w:pPr>
      <w:r w:rsidRPr="007A21E6">
        <w:rPr>
          <w:rFonts w:ascii="Arial" w:hAnsi="Arial" w:cs="Arial"/>
          <w:sz w:val="24"/>
          <w:szCs w:val="24"/>
        </w:rPr>
        <w:t xml:space="preserve">In the case of </w:t>
      </w:r>
      <w:r w:rsidRPr="007A21E6">
        <w:rPr>
          <w:rFonts w:ascii="Arial" w:hAnsi="Arial" w:cs="Arial"/>
          <w:b/>
          <w:bCs/>
          <w:sz w:val="24"/>
          <w:szCs w:val="24"/>
        </w:rPr>
        <w:t>rental housing</w:t>
      </w:r>
      <w:r w:rsidRPr="007A21E6">
        <w:rPr>
          <w:rFonts w:ascii="Arial" w:hAnsi="Arial" w:cs="Arial"/>
          <w:sz w:val="24"/>
          <w:szCs w:val="24"/>
        </w:rPr>
        <w:t xml:space="preserve">, the least expensive of: </w:t>
      </w:r>
    </w:p>
    <w:p w14:paraId="3F6ABD15" w14:textId="77777777" w:rsidR="00DB6B3D" w:rsidRPr="007A21E6" w:rsidRDefault="00DB6B3D" w:rsidP="00DB6B3D">
      <w:pPr>
        <w:pStyle w:val="ListParagraph"/>
        <w:numPr>
          <w:ilvl w:val="0"/>
          <w:numId w:val="4"/>
        </w:numPr>
        <w:contextualSpacing/>
        <w:rPr>
          <w:rFonts w:ascii="Arial" w:hAnsi="Arial" w:cs="Arial"/>
          <w:sz w:val="24"/>
          <w:szCs w:val="24"/>
        </w:rPr>
      </w:pPr>
      <w:r w:rsidRPr="007A21E6">
        <w:rPr>
          <w:rFonts w:ascii="Arial" w:hAnsi="Arial" w:cs="Arial"/>
          <w:sz w:val="24"/>
          <w:szCs w:val="24"/>
        </w:rPr>
        <w:t xml:space="preserve">A unit for which the rent does not exceed 30 percent of gross annual household income for low and moderate income households; or </w:t>
      </w:r>
    </w:p>
    <w:p w14:paraId="7CE49BBA" w14:textId="77777777" w:rsidR="00DB6B3D" w:rsidRPr="007A21E6" w:rsidRDefault="00DB6B3D" w:rsidP="00DB6B3D">
      <w:pPr>
        <w:pStyle w:val="ListParagraph"/>
        <w:numPr>
          <w:ilvl w:val="0"/>
          <w:numId w:val="4"/>
        </w:numPr>
        <w:contextualSpacing/>
        <w:rPr>
          <w:rFonts w:ascii="Arial" w:hAnsi="Arial" w:cs="Arial"/>
          <w:sz w:val="24"/>
          <w:szCs w:val="24"/>
        </w:rPr>
      </w:pPr>
      <w:r w:rsidRPr="007A21E6">
        <w:rPr>
          <w:rFonts w:ascii="Arial" w:hAnsi="Arial" w:cs="Arial"/>
          <w:sz w:val="24"/>
          <w:szCs w:val="24"/>
        </w:rPr>
        <w:t xml:space="preserve">A unit for which the rent is at or below the average market rent of a unit in the regional market area. </w:t>
      </w:r>
    </w:p>
    <w:p w14:paraId="69372B40" w14:textId="77777777" w:rsidR="00DB6B3D" w:rsidRPr="007A21E6" w:rsidRDefault="00DB6B3D" w:rsidP="00DB6B3D">
      <w:pPr>
        <w:rPr>
          <w:rFonts w:ascii="Arial" w:hAnsi="Arial" w:cs="Arial"/>
          <w:sz w:val="24"/>
          <w:szCs w:val="24"/>
        </w:rPr>
      </w:pPr>
    </w:p>
    <w:p w14:paraId="048319AF" w14:textId="16779712" w:rsidR="00DB6B3D" w:rsidRPr="007A21E6" w:rsidRDefault="00DB6B3D" w:rsidP="00DB6B3D">
      <w:pPr>
        <w:rPr>
          <w:rFonts w:ascii="Arial" w:hAnsi="Arial" w:cs="Arial"/>
          <w:sz w:val="24"/>
          <w:szCs w:val="24"/>
        </w:rPr>
      </w:pPr>
      <w:r w:rsidRPr="007A21E6">
        <w:rPr>
          <w:rFonts w:ascii="Arial" w:eastAsia="Times New Roman" w:hAnsi="Arial" w:cs="Arial"/>
          <w:sz w:val="24"/>
          <w:szCs w:val="24"/>
        </w:rPr>
        <w:t xml:space="preserve">Affordable Housing requires a formal agreement between the developer or landlord and at least one level of government to ensure that the units continue to meet the definition of </w:t>
      </w:r>
      <w:r w:rsidR="007A21E6">
        <w:rPr>
          <w:rFonts w:ascii="Arial" w:eastAsia="Times New Roman" w:hAnsi="Arial" w:cs="Arial"/>
          <w:sz w:val="24"/>
          <w:szCs w:val="24"/>
        </w:rPr>
        <w:t>“</w:t>
      </w:r>
      <w:r w:rsidRPr="007A21E6">
        <w:rPr>
          <w:rFonts w:ascii="Arial" w:eastAsia="Times New Roman" w:hAnsi="Arial" w:cs="Arial"/>
          <w:sz w:val="24"/>
          <w:szCs w:val="24"/>
        </w:rPr>
        <w:t>Affordable</w:t>
      </w:r>
      <w:r w:rsidR="007A21E6">
        <w:rPr>
          <w:rFonts w:ascii="Arial" w:eastAsia="Times New Roman" w:hAnsi="Arial" w:cs="Arial"/>
          <w:sz w:val="24"/>
          <w:szCs w:val="24"/>
        </w:rPr>
        <w:t>”</w:t>
      </w:r>
      <w:r w:rsidRPr="007A21E6">
        <w:rPr>
          <w:rFonts w:ascii="Arial" w:eastAsia="Times New Roman" w:hAnsi="Arial" w:cs="Arial"/>
          <w:sz w:val="24"/>
          <w:szCs w:val="24"/>
        </w:rPr>
        <w:t xml:space="preserve"> over time</w:t>
      </w:r>
      <w:r w:rsidRPr="007A21E6">
        <w:rPr>
          <w:rFonts w:ascii="Arial" w:hAnsi="Arial" w:cs="Arial"/>
          <w:sz w:val="24"/>
          <w:szCs w:val="24"/>
        </w:rPr>
        <w:t>.</w:t>
      </w:r>
    </w:p>
    <w:p w14:paraId="2CC6F1BD" w14:textId="6AE8AD4E" w:rsidR="00B17C05" w:rsidRPr="007A21E6" w:rsidRDefault="00B17C05" w:rsidP="007A21E6">
      <w:pPr>
        <w:spacing w:after="240"/>
        <w:rPr>
          <w:rStyle w:val="s2"/>
          <w:rFonts w:ascii="Arial" w:hAnsi="Arial" w:cs="Arial"/>
          <w:sz w:val="24"/>
          <w:szCs w:val="24"/>
          <w:lang w:eastAsia="en-CA"/>
        </w:rPr>
      </w:pPr>
      <w:r w:rsidRPr="007A21E6">
        <w:rPr>
          <w:rStyle w:val="s2"/>
          <w:rFonts w:ascii="Arial" w:hAnsi="Arial" w:cs="Arial"/>
          <w:b/>
          <w:bCs/>
          <w:sz w:val="24"/>
          <w:szCs w:val="24"/>
          <w:lang w:eastAsia="en-CA"/>
        </w:rPr>
        <w:t>Attainable Housing:</w:t>
      </w:r>
      <w:r w:rsidRPr="007A21E6">
        <w:rPr>
          <w:rStyle w:val="s2"/>
          <w:rFonts w:ascii="Arial" w:hAnsi="Arial" w:cs="Arial"/>
          <w:sz w:val="24"/>
          <w:szCs w:val="24"/>
          <w:lang w:eastAsia="en-CA"/>
        </w:rPr>
        <w:t xml:space="preserve"> </w:t>
      </w:r>
      <w:r w:rsidR="00A27534" w:rsidRPr="007A21E6">
        <w:rPr>
          <w:rFonts w:ascii="Arial" w:hAnsi="Arial" w:cs="Arial"/>
          <w:sz w:val="24"/>
          <w:szCs w:val="24"/>
        </w:rPr>
        <w:t>Attainable Housing is a newer term that is being used to describe housing that is lower in cost than the average market prices for purchasing a home or renting a unit. It is important to note that attainable housing does not meet the above definition of affordable housing.</w:t>
      </w:r>
    </w:p>
    <w:p w14:paraId="67349A67" w14:textId="083E8EB9" w:rsidR="00B17C05" w:rsidRPr="007A21E6" w:rsidRDefault="00B17C05" w:rsidP="007A21E6">
      <w:pPr>
        <w:rPr>
          <w:rStyle w:val="s2"/>
          <w:rFonts w:ascii="Arial" w:hAnsi="Arial" w:cs="Arial"/>
          <w:sz w:val="24"/>
          <w:szCs w:val="24"/>
          <w:lang w:eastAsia="en-CA"/>
        </w:rPr>
      </w:pPr>
      <w:r w:rsidRPr="007A21E6">
        <w:rPr>
          <w:rStyle w:val="s2"/>
          <w:rFonts w:ascii="Arial" w:hAnsi="Arial" w:cs="Arial"/>
          <w:b/>
          <w:bCs/>
          <w:sz w:val="24"/>
          <w:szCs w:val="24"/>
          <w:lang w:eastAsia="en-CA"/>
        </w:rPr>
        <w:t xml:space="preserve">Not-for-profit </w:t>
      </w:r>
      <w:r w:rsidR="00270CC2" w:rsidRPr="007A21E6">
        <w:rPr>
          <w:rStyle w:val="s2"/>
          <w:rFonts w:ascii="Arial" w:hAnsi="Arial" w:cs="Arial"/>
          <w:b/>
          <w:bCs/>
          <w:sz w:val="24"/>
          <w:szCs w:val="24"/>
          <w:lang w:eastAsia="en-CA"/>
        </w:rPr>
        <w:t xml:space="preserve">Housing </w:t>
      </w:r>
      <w:r w:rsidRPr="007A21E6">
        <w:rPr>
          <w:rStyle w:val="s2"/>
          <w:rFonts w:ascii="Arial" w:hAnsi="Arial" w:cs="Arial"/>
          <w:b/>
          <w:bCs/>
          <w:sz w:val="24"/>
          <w:szCs w:val="24"/>
          <w:lang w:eastAsia="en-CA"/>
        </w:rPr>
        <w:t>vs Market Housing:</w:t>
      </w:r>
      <w:r w:rsidRPr="007A21E6">
        <w:rPr>
          <w:rStyle w:val="s2"/>
          <w:rFonts w:ascii="Arial" w:hAnsi="Arial" w:cs="Arial"/>
          <w:sz w:val="24"/>
          <w:szCs w:val="24"/>
          <w:lang w:eastAsia="en-CA"/>
        </w:rPr>
        <w:t xml:space="preserve"> Not-for-profit housing is typically operated by non-profit societies, co-ops, and government agencies, and is a crucial source of secure affordable housing for low and moderate-income households. Market Housing </w:t>
      </w:r>
      <w:r w:rsidR="00FC4ABF" w:rsidRPr="007A21E6">
        <w:rPr>
          <w:rStyle w:val="s2"/>
          <w:rFonts w:ascii="Arial" w:hAnsi="Arial" w:cs="Arial"/>
          <w:sz w:val="24"/>
          <w:szCs w:val="24"/>
          <w:lang w:eastAsia="en-CA"/>
        </w:rPr>
        <w:t xml:space="preserve">is </w:t>
      </w:r>
      <w:r w:rsidR="00270CC2" w:rsidRPr="007A21E6">
        <w:rPr>
          <w:rStyle w:val="s2"/>
          <w:rFonts w:ascii="Arial" w:hAnsi="Arial" w:cs="Arial"/>
          <w:sz w:val="24"/>
          <w:szCs w:val="24"/>
          <w:lang w:eastAsia="en-CA"/>
        </w:rPr>
        <w:t xml:space="preserve">private rental or homeownership </w:t>
      </w:r>
      <w:r w:rsidR="00915E4C" w:rsidRPr="007A21E6">
        <w:rPr>
          <w:rStyle w:val="s2"/>
          <w:rFonts w:ascii="Arial" w:hAnsi="Arial" w:cs="Arial"/>
          <w:sz w:val="24"/>
          <w:szCs w:val="24"/>
          <w:lang w:eastAsia="en-CA"/>
        </w:rPr>
        <w:t xml:space="preserve">units </w:t>
      </w:r>
      <w:r w:rsidR="00270CC2" w:rsidRPr="007A21E6">
        <w:rPr>
          <w:rStyle w:val="s2"/>
          <w:rFonts w:ascii="Arial" w:hAnsi="Arial" w:cs="Arial"/>
          <w:sz w:val="24"/>
          <w:szCs w:val="24"/>
          <w:lang w:eastAsia="en-CA"/>
        </w:rPr>
        <w:t xml:space="preserve">where prices are set in the open market </w:t>
      </w:r>
      <w:r w:rsidR="00FC4ABF" w:rsidRPr="007A21E6">
        <w:rPr>
          <w:rStyle w:val="s2"/>
          <w:rFonts w:ascii="Arial" w:hAnsi="Arial" w:cs="Arial"/>
          <w:sz w:val="24"/>
          <w:szCs w:val="24"/>
          <w:lang w:eastAsia="en-CA"/>
        </w:rPr>
        <w:t>without any direct subsidy</w:t>
      </w:r>
      <w:r w:rsidR="00915E4C" w:rsidRPr="007A21E6">
        <w:rPr>
          <w:rStyle w:val="s2"/>
          <w:rFonts w:ascii="Arial" w:hAnsi="Arial" w:cs="Arial"/>
          <w:sz w:val="24"/>
          <w:szCs w:val="24"/>
          <w:lang w:eastAsia="en-CA"/>
        </w:rPr>
        <w:t>.</w:t>
      </w:r>
    </w:p>
    <w:p w14:paraId="68144AD7" w14:textId="77777777" w:rsidR="00B17C05" w:rsidRPr="007A21E6" w:rsidRDefault="00B17C05" w:rsidP="00B17C05">
      <w:pPr>
        <w:pStyle w:val="ListParagraph"/>
        <w:rPr>
          <w:rStyle w:val="s2"/>
          <w:rFonts w:ascii="Arial" w:hAnsi="Arial" w:cs="Arial"/>
          <w:sz w:val="24"/>
          <w:szCs w:val="24"/>
          <w:lang w:eastAsia="en-CA"/>
        </w:rPr>
      </w:pPr>
    </w:p>
    <w:p w14:paraId="6D8809BF" w14:textId="0788FE0D" w:rsidR="00B17C05" w:rsidRPr="007A21E6" w:rsidRDefault="00B17C05" w:rsidP="007A21E6">
      <w:pPr>
        <w:rPr>
          <w:rStyle w:val="s2"/>
          <w:rFonts w:ascii="Arial" w:hAnsi="Arial" w:cs="Arial"/>
          <w:sz w:val="24"/>
          <w:szCs w:val="24"/>
          <w:lang w:eastAsia="en-CA"/>
        </w:rPr>
      </w:pPr>
      <w:r w:rsidRPr="007A21E6">
        <w:rPr>
          <w:rStyle w:val="s2"/>
          <w:rFonts w:ascii="Arial" w:hAnsi="Arial" w:cs="Arial"/>
          <w:b/>
          <w:bCs/>
          <w:sz w:val="24"/>
          <w:szCs w:val="24"/>
          <w:lang w:eastAsia="en-CA"/>
        </w:rPr>
        <w:lastRenderedPageBreak/>
        <w:t>Social Housing</w:t>
      </w:r>
      <w:r w:rsidRPr="007A21E6">
        <w:rPr>
          <w:rStyle w:val="s2"/>
          <w:rFonts w:ascii="Arial" w:hAnsi="Arial" w:cs="Arial"/>
          <w:sz w:val="24"/>
          <w:szCs w:val="24"/>
          <w:lang w:eastAsia="en-CA"/>
        </w:rPr>
        <w:t>: While all social housing is affordable, the term ‘social housing’ refers more specifically to housing that is subsidized by a</w:t>
      </w:r>
      <w:r w:rsidR="00567935" w:rsidRPr="007A21E6">
        <w:rPr>
          <w:rStyle w:val="s2"/>
          <w:rFonts w:ascii="Arial" w:hAnsi="Arial" w:cs="Arial"/>
          <w:sz w:val="24"/>
          <w:szCs w:val="24"/>
          <w:lang w:eastAsia="en-CA"/>
        </w:rPr>
        <w:t>n upper tier</w:t>
      </w:r>
      <w:r w:rsidRPr="007A21E6">
        <w:rPr>
          <w:rStyle w:val="s2"/>
          <w:rFonts w:ascii="Arial" w:hAnsi="Arial" w:cs="Arial"/>
          <w:sz w:val="24"/>
          <w:szCs w:val="24"/>
          <w:lang w:eastAsia="en-CA"/>
        </w:rPr>
        <w:t xml:space="preserve"> level of </w:t>
      </w:r>
      <w:r w:rsidR="00567935" w:rsidRPr="007A21E6">
        <w:rPr>
          <w:rStyle w:val="s2"/>
          <w:rFonts w:ascii="Arial" w:hAnsi="Arial" w:cs="Arial"/>
          <w:sz w:val="24"/>
          <w:szCs w:val="24"/>
          <w:lang w:eastAsia="en-CA"/>
        </w:rPr>
        <w:t xml:space="preserve">municipal </w:t>
      </w:r>
      <w:r w:rsidRPr="007A21E6">
        <w:rPr>
          <w:rStyle w:val="s2"/>
          <w:rFonts w:ascii="Arial" w:hAnsi="Arial" w:cs="Arial"/>
          <w:sz w:val="24"/>
          <w:szCs w:val="24"/>
          <w:lang w:eastAsia="en-CA"/>
        </w:rPr>
        <w:t xml:space="preserve">government. </w:t>
      </w:r>
      <w:r w:rsidR="007A21E6">
        <w:rPr>
          <w:rStyle w:val="s2"/>
          <w:rFonts w:ascii="Arial" w:hAnsi="Arial" w:cs="Arial"/>
          <w:sz w:val="24"/>
          <w:szCs w:val="24"/>
          <w:lang w:eastAsia="en-CA"/>
        </w:rPr>
        <w:t>In our area, o</w:t>
      </w:r>
      <w:r w:rsidRPr="007A21E6">
        <w:rPr>
          <w:rStyle w:val="s2"/>
          <w:rFonts w:ascii="Arial" w:hAnsi="Arial" w:cs="Arial"/>
          <w:sz w:val="24"/>
          <w:szCs w:val="24"/>
          <w:lang w:eastAsia="en-CA"/>
        </w:rPr>
        <w:t xml:space="preserve">verseeing the Social Housing stock is the responsibility of Lanark County (the upper tier municipality) </w:t>
      </w:r>
      <w:r w:rsidR="00915E4C" w:rsidRPr="007A21E6">
        <w:rPr>
          <w:rStyle w:val="s2"/>
          <w:rFonts w:ascii="Arial" w:hAnsi="Arial" w:cs="Arial"/>
          <w:sz w:val="24"/>
          <w:szCs w:val="24"/>
          <w:lang w:eastAsia="en-CA"/>
        </w:rPr>
        <w:t>as the Municipal Service Manager</w:t>
      </w:r>
      <w:r w:rsidRPr="007A21E6">
        <w:rPr>
          <w:rStyle w:val="s2"/>
          <w:rFonts w:ascii="Arial" w:hAnsi="Arial" w:cs="Arial"/>
          <w:sz w:val="24"/>
          <w:szCs w:val="24"/>
          <w:lang w:eastAsia="en-CA"/>
        </w:rPr>
        <w:t>. Some examples of social housing programs in Lanark County include:</w:t>
      </w:r>
    </w:p>
    <w:p w14:paraId="16EAD6F4" w14:textId="2E825F65" w:rsidR="00B17C05" w:rsidRPr="007A21E6" w:rsidRDefault="00B17C05" w:rsidP="00B17C05">
      <w:pPr>
        <w:pStyle w:val="ListParagraph"/>
        <w:numPr>
          <w:ilvl w:val="1"/>
          <w:numId w:val="2"/>
        </w:numPr>
        <w:rPr>
          <w:rStyle w:val="s2"/>
          <w:rFonts w:ascii="Arial" w:hAnsi="Arial" w:cs="Arial"/>
          <w:sz w:val="24"/>
          <w:szCs w:val="24"/>
          <w:lang w:eastAsia="en-CA"/>
        </w:rPr>
      </w:pPr>
      <w:r w:rsidRPr="007A21E6">
        <w:rPr>
          <w:rStyle w:val="s2"/>
          <w:rFonts w:ascii="Arial" w:hAnsi="Arial" w:cs="Arial"/>
          <w:sz w:val="24"/>
          <w:szCs w:val="24"/>
          <w:lang w:eastAsia="en-CA"/>
        </w:rPr>
        <w:t xml:space="preserve">Rent Geared to Income (RGI): is a housing subsidy/assistance allows qualifying tenants to pay </w:t>
      </w:r>
      <w:r w:rsidR="007F090C" w:rsidRPr="007A21E6">
        <w:rPr>
          <w:rStyle w:val="s2"/>
          <w:rFonts w:ascii="Arial" w:hAnsi="Arial" w:cs="Arial"/>
          <w:sz w:val="24"/>
          <w:szCs w:val="24"/>
          <w:lang w:eastAsia="en-CA"/>
        </w:rPr>
        <w:t xml:space="preserve">approximately </w:t>
      </w:r>
      <w:r w:rsidRPr="007A21E6">
        <w:rPr>
          <w:rStyle w:val="s2"/>
          <w:rFonts w:ascii="Arial" w:hAnsi="Arial" w:cs="Arial"/>
          <w:sz w:val="24"/>
          <w:szCs w:val="24"/>
          <w:lang w:eastAsia="en-CA"/>
        </w:rPr>
        <w:t>30% of their income as rent.</w:t>
      </w:r>
    </w:p>
    <w:p w14:paraId="1855F022" w14:textId="5E501580" w:rsidR="007F090C" w:rsidRPr="007A21E6" w:rsidRDefault="00B17C05" w:rsidP="00AB3F48">
      <w:pPr>
        <w:pStyle w:val="ListParagraph"/>
        <w:numPr>
          <w:ilvl w:val="1"/>
          <w:numId w:val="2"/>
        </w:numPr>
        <w:rPr>
          <w:rStyle w:val="s2"/>
          <w:rFonts w:ascii="Arial" w:hAnsi="Arial" w:cs="Arial"/>
          <w:sz w:val="24"/>
          <w:szCs w:val="24"/>
          <w:lang w:eastAsia="en-CA"/>
        </w:rPr>
      </w:pPr>
      <w:r w:rsidRPr="007A21E6">
        <w:rPr>
          <w:rStyle w:val="s2"/>
          <w:rFonts w:ascii="Arial" w:hAnsi="Arial" w:cs="Arial"/>
          <w:sz w:val="24"/>
          <w:szCs w:val="24"/>
          <w:lang w:eastAsia="en-CA"/>
        </w:rPr>
        <w:t xml:space="preserve">Portable Housing Benefit: A monthly subsidy to low-income households to </w:t>
      </w:r>
      <w:r w:rsidR="007F090C" w:rsidRPr="007A21E6">
        <w:rPr>
          <w:rStyle w:val="s2"/>
          <w:rFonts w:ascii="Arial" w:hAnsi="Arial" w:cs="Arial"/>
          <w:sz w:val="24"/>
          <w:szCs w:val="24"/>
          <w:lang w:eastAsia="en-CA"/>
        </w:rPr>
        <w:t xml:space="preserve">bridge the gap between affordable rent and some or all of </w:t>
      </w:r>
      <w:r w:rsidR="00AB3F48" w:rsidRPr="007A21E6">
        <w:rPr>
          <w:rStyle w:val="s2"/>
          <w:rFonts w:ascii="Arial" w:hAnsi="Arial" w:cs="Arial"/>
          <w:sz w:val="24"/>
          <w:szCs w:val="24"/>
          <w:lang w:eastAsia="en-CA"/>
        </w:rPr>
        <w:t xml:space="preserve">average market rent. </w:t>
      </w:r>
    </w:p>
    <w:p w14:paraId="28EAC228" w14:textId="18112815" w:rsidR="007F090C" w:rsidRPr="007A21E6" w:rsidRDefault="00B17C05" w:rsidP="007F090C">
      <w:pPr>
        <w:pStyle w:val="ListParagraph"/>
        <w:numPr>
          <w:ilvl w:val="1"/>
          <w:numId w:val="2"/>
        </w:numPr>
        <w:rPr>
          <w:rStyle w:val="s2"/>
          <w:rFonts w:ascii="Arial" w:hAnsi="Arial" w:cs="Arial"/>
          <w:sz w:val="24"/>
          <w:szCs w:val="24"/>
          <w:lang w:eastAsia="en-CA"/>
        </w:rPr>
      </w:pPr>
      <w:r w:rsidRPr="007A21E6">
        <w:rPr>
          <w:rStyle w:val="s2"/>
          <w:rFonts w:ascii="Arial" w:hAnsi="Arial" w:cs="Arial"/>
          <w:sz w:val="24"/>
          <w:szCs w:val="24"/>
          <w:lang w:eastAsia="en-CA"/>
        </w:rPr>
        <w:t>Rent Supplement: Helps low-income households to offset high shelter costs by providing up to $200 per month to the landlord.</w:t>
      </w:r>
    </w:p>
    <w:p w14:paraId="5DD40F89" w14:textId="77777777" w:rsidR="00B17C05" w:rsidRPr="007A21E6" w:rsidRDefault="00B17C05" w:rsidP="00B17C05">
      <w:pPr>
        <w:pStyle w:val="ListParagraph"/>
        <w:ind w:left="1440"/>
        <w:rPr>
          <w:rStyle w:val="s2"/>
          <w:rFonts w:ascii="Arial" w:hAnsi="Arial" w:cs="Arial"/>
          <w:sz w:val="24"/>
          <w:szCs w:val="24"/>
          <w:lang w:eastAsia="en-CA"/>
        </w:rPr>
      </w:pPr>
    </w:p>
    <w:p w14:paraId="2B64E206" w14:textId="77076F83" w:rsidR="00B17C05" w:rsidRPr="007A21E6" w:rsidRDefault="00AB3F48" w:rsidP="007A21E6">
      <w:pPr>
        <w:rPr>
          <w:rStyle w:val="s2"/>
          <w:rFonts w:ascii="Arial" w:hAnsi="Arial" w:cs="Arial"/>
          <w:sz w:val="24"/>
          <w:szCs w:val="24"/>
          <w:lang w:eastAsia="en-CA"/>
        </w:rPr>
      </w:pPr>
      <w:r w:rsidRPr="007A21E6">
        <w:rPr>
          <w:rStyle w:val="s2"/>
          <w:rFonts w:ascii="Arial" w:hAnsi="Arial" w:cs="Arial"/>
          <w:b/>
          <w:bCs/>
          <w:sz w:val="24"/>
          <w:szCs w:val="24"/>
          <w:lang w:eastAsia="en-CA"/>
        </w:rPr>
        <w:t>Municipal Service Manager</w:t>
      </w:r>
      <w:r w:rsidR="00B17C05" w:rsidRPr="007A21E6">
        <w:rPr>
          <w:rStyle w:val="s2"/>
          <w:rFonts w:ascii="Arial" w:hAnsi="Arial" w:cs="Arial"/>
          <w:b/>
          <w:bCs/>
          <w:sz w:val="24"/>
          <w:szCs w:val="24"/>
          <w:lang w:eastAsia="en-CA"/>
        </w:rPr>
        <w:t>:</w:t>
      </w:r>
      <w:r w:rsidR="00B17C05" w:rsidRPr="007A21E6">
        <w:rPr>
          <w:rStyle w:val="s2"/>
          <w:rFonts w:ascii="Arial" w:hAnsi="Arial" w:cs="Arial"/>
          <w:sz w:val="24"/>
          <w:szCs w:val="24"/>
          <w:lang w:eastAsia="en-CA"/>
        </w:rPr>
        <w:t xml:space="preserve"> Lanark County is a designated Service Manager under the Housing Services Act</w:t>
      </w:r>
      <w:r w:rsidR="007A21E6">
        <w:rPr>
          <w:rStyle w:val="s2"/>
          <w:rFonts w:ascii="Arial" w:hAnsi="Arial" w:cs="Arial"/>
          <w:sz w:val="24"/>
          <w:szCs w:val="24"/>
          <w:lang w:eastAsia="en-CA"/>
        </w:rPr>
        <w:t>, and is</w:t>
      </w:r>
      <w:r w:rsidR="00B17C05" w:rsidRPr="007A21E6">
        <w:rPr>
          <w:rStyle w:val="s2"/>
          <w:rFonts w:ascii="Arial" w:hAnsi="Arial" w:cs="Arial"/>
          <w:sz w:val="24"/>
          <w:szCs w:val="24"/>
          <w:lang w:eastAsia="en-CA"/>
        </w:rPr>
        <w:t xml:space="preserve"> primarily responsible for the provision of </w:t>
      </w:r>
      <w:r w:rsidRPr="007A21E6">
        <w:rPr>
          <w:rStyle w:val="s2"/>
          <w:rFonts w:ascii="Arial" w:hAnsi="Arial" w:cs="Arial"/>
          <w:sz w:val="24"/>
          <w:szCs w:val="24"/>
          <w:lang w:eastAsia="en-CA"/>
        </w:rPr>
        <w:t xml:space="preserve">social </w:t>
      </w:r>
      <w:r w:rsidR="00B17C05" w:rsidRPr="007A21E6">
        <w:rPr>
          <w:rStyle w:val="s2"/>
          <w:rFonts w:ascii="Arial" w:hAnsi="Arial" w:cs="Arial"/>
          <w:sz w:val="24"/>
          <w:szCs w:val="24"/>
          <w:lang w:eastAsia="en-CA"/>
        </w:rPr>
        <w:t>housing, administration of homelessness programs, and administration of funding from senior levels of government.</w:t>
      </w:r>
    </w:p>
    <w:p w14:paraId="583FBF31" w14:textId="77777777" w:rsidR="00B17C05" w:rsidRPr="007A21E6" w:rsidRDefault="00B17C05" w:rsidP="00B17C05">
      <w:pPr>
        <w:pStyle w:val="ListParagraph"/>
        <w:rPr>
          <w:rStyle w:val="s2"/>
          <w:rFonts w:ascii="Arial" w:hAnsi="Arial" w:cs="Arial"/>
          <w:sz w:val="24"/>
          <w:szCs w:val="24"/>
          <w:lang w:eastAsia="en-CA"/>
        </w:rPr>
      </w:pPr>
    </w:p>
    <w:p w14:paraId="30C5B5C7" w14:textId="3442F55C" w:rsidR="007D2D04" w:rsidRPr="007A21E6" w:rsidRDefault="00B17C05" w:rsidP="007D2D04">
      <w:pPr>
        <w:rPr>
          <w:rFonts w:ascii="Arial" w:hAnsi="Arial" w:cs="Arial"/>
          <w:sz w:val="24"/>
          <w:szCs w:val="24"/>
        </w:rPr>
      </w:pPr>
      <w:r w:rsidRPr="007A21E6">
        <w:rPr>
          <w:rStyle w:val="s2"/>
          <w:rFonts w:ascii="Arial" w:hAnsi="Arial" w:cs="Arial"/>
          <w:b/>
          <w:bCs/>
          <w:sz w:val="24"/>
          <w:szCs w:val="24"/>
          <w:lang w:eastAsia="en-CA"/>
        </w:rPr>
        <w:t>A</w:t>
      </w:r>
      <w:r w:rsidR="0032022A" w:rsidRPr="007A21E6">
        <w:rPr>
          <w:rStyle w:val="s2"/>
          <w:rFonts w:ascii="Arial" w:hAnsi="Arial" w:cs="Arial"/>
          <w:b/>
          <w:bCs/>
          <w:sz w:val="24"/>
          <w:szCs w:val="24"/>
          <w:lang w:eastAsia="en-CA"/>
        </w:rPr>
        <w:t>dditional Residential Unit (A</w:t>
      </w:r>
      <w:r w:rsidRPr="007A21E6">
        <w:rPr>
          <w:rStyle w:val="s2"/>
          <w:rFonts w:ascii="Arial" w:hAnsi="Arial" w:cs="Arial"/>
          <w:b/>
          <w:bCs/>
          <w:sz w:val="24"/>
          <w:szCs w:val="24"/>
          <w:lang w:eastAsia="en-CA"/>
        </w:rPr>
        <w:t>RU</w:t>
      </w:r>
      <w:r w:rsidR="0032022A" w:rsidRPr="007A21E6">
        <w:rPr>
          <w:rStyle w:val="s2"/>
          <w:rFonts w:ascii="Arial" w:hAnsi="Arial" w:cs="Arial"/>
          <w:b/>
          <w:bCs/>
          <w:sz w:val="24"/>
          <w:szCs w:val="24"/>
          <w:lang w:eastAsia="en-CA"/>
        </w:rPr>
        <w:t>)</w:t>
      </w:r>
      <w:r w:rsidR="007D2D04" w:rsidRPr="007A21E6">
        <w:rPr>
          <w:rStyle w:val="s2"/>
          <w:rFonts w:ascii="Arial" w:hAnsi="Arial" w:cs="Arial"/>
          <w:sz w:val="24"/>
          <w:szCs w:val="24"/>
          <w:lang w:eastAsia="en-CA"/>
        </w:rPr>
        <w:t xml:space="preserve"> </w:t>
      </w:r>
      <w:r w:rsidR="007D2D04" w:rsidRPr="007A21E6">
        <w:rPr>
          <w:rFonts w:ascii="Arial" w:hAnsi="Arial" w:cs="Arial"/>
          <w:sz w:val="24"/>
          <w:szCs w:val="24"/>
        </w:rPr>
        <w:t xml:space="preserve">An ARU is a secondary or accessory dwelling unit on a property where there is already a primary dwelling unit. ARUs can be inside an existing house, added on, or located in a detached accessory structure. These come in many shapes and sizes and are commonly referred to as basement apartments, coach homes, in-law suites and garage lofts. ARUs are typically smaller than the primary unit and are not restricted to only settlement areas.  They are permitted in all areas of the municipality where there is a principal dwelling unit. </w:t>
      </w:r>
    </w:p>
    <w:p w14:paraId="382CB0AB" w14:textId="7F130DDA" w:rsidR="00D81537" w:rsidRPr="007A21E6" w:rsidRDefault="00D81537" w:rsidP="00C72DC8">
      <w:pPr>
        <w:pStyle w:val="NormalWeb"/>
        <w:spacing w:before="0" w:beforeAutospacing="0" w:after="0" w:afterAutospacing="0" w:line="324" w:lineRule="atLeast"/>
        <w:rPr>
          <w:rFonts w:ascii="Arial" w:hAnsi="Arial" w:cs="Arial"/>
          <w:sz w:val="24"/>
          <w:szCs w:val="24"/>
        </w:rPr>
      </w:pPr>
    </w:p>
    <w:p w14:paraId="19076A8B" w14:textId="2E5A455A" w:rsidR="00567935" w:rsidRPr="007A21E6" w:rsidRDefault="00567935" w:rsidP="00C72DC8">
      <w:pPr>
        <w:pStyle w:val="NormalWeb"/>
        <w:spacing w:before="0" w:beforeAutospacing="0" w:after="0" w:afterAutospacing="0" w:line="324" w:lineRule="atLeast"/>
        <w:rPr>
          <w:rStyle w:val="s2"/>
          <w:rFonts w:ascii="Arial" w:hAnsi="Arial" w:cs="Arial"/>
          <w:sz w:val="24"/>
          <w:szCs w:val="24"/>
        </w:rPr>
      </w:pPr>
      <w:r w:rsidRPr="007A21E6">
        <w:rPr>
          <w:rStyle w:val="s2"/>
          <w:rFonts w:ascii="Arial" w:hAnsi="Arial" w:cs="Arial"/>
          <w:sz w:val="24"/>
          <w:szCs w:val="24"/>
        </w:rPr>
        <w:t xml:space="preserve">While there are likely many more key terms that </w:t>
      </w:r>
      <w:r w:rsidR="003B3F07" w:rsidRPr="007A21E6">
        <w:rPr>
          <w:rStyle w:val="s2"/>
          <w:rFonts w:ascii="Arial" w:hAnsi="Arial" w:cs="Arial"/>
          <w:sz w:val="24"/>
          <w:szCs w:val="24"/>
        </w:rPr>
        <w:t>people may use when discussing affordable housing, the 6 definitions above were chosen to act as a starting point into this important conversation.</w:t>
      </w:r>
    </w:p>
    <w:p w14:paraId="5823606A" w14:textId="6036B0BA" w:rsidR="003B3F07" w:rsidRPr="007A21E6" w:rsidRDefault="003B3F07" w:rsidP="00C72DC8">
      <w:pPr>
        <w:pStyle w:val="NormalWeb"/>
        <w:spacing w:before="0" w:beforeAutospacing="0" w:after="0" w:afterAutospacing="0" w:line="324" w:lineRule="atLeast"/>
        <w:rPr>
          <w:rStyle w:val="s2"/>
          <w:rFonts w:ascii="Arial" w:hAnsi="Arial" w:cs="Arial"/>
          <w:sz w:val="24"/>
          <w:szCs w:val="24"/>
        </w:rPr>
      </w:pPr>
    </w:p>
    <w:p w14:paraId="7AB15C2C" w14:textId="684010F2" w:rsidR="003B3F07" w:rsidRPr="007A21E6" w:rsidRDefault="003B3F07" w:rsidP="00C72DC8">
      <w:pPr>
        <w:pStyle w:val="NormalWeb"/>
        <w:spacing w:before="0" w:beforeAutospacing="0" w:after="0" w:afterAutospacing="0" w:line="324" w:lineRule="atLeast"/>
        <w:rPr>
          <w:rStyle w:val="s2"/>
          <w:rFonts w:ascii="Arial" w:hAnsi="Arial" w:cs="Arial"/>
          <w:sz w:val="24"/>
          <w:szCs w:val="24"/>
        </w:rPr>
      </w:pPr>
      <w:r w:rsidRPr="007A21E6">
        <w:rPr>
          <w:rStyle w:val="s2"/>
          <w:rFonts w:ascii="Arial" w:hAnsi="Arial" w:cs="Arial"/>
          <w:sz w:val="24"/>
          <w:szCs w:val="24"/>
        </w:rPr>
        <w:t>Next week we will be looking more closely at what Mississippi Mills is doing including some new initiatives. Be sure to check back weekly for new spotlights!</w:t>
      </w:r>
    </w:p>
    <w:sectPr w:rsidR="003B3F07" w:rsidRPr="007A21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FCA"/>
    <w:multiLevelType w:val="hybridMultilevel"/>
    <w:tmpl w:val="E1C6ECA0"/>
    <w:lvl w:ilvl="0" w:tplc="021C2C1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4385079A"/>
    <w:multiLevelType w:val="hybridMultilevel"/>
    <w:tmpl w:val="5B24CB2A"/>
    <w:lvl w:ilvl="0" w:tplc="B6F2F19C">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6A2A16D0"/>
    <w:multiLevelType w:val="hybridMultilevel"/>
    <w:tmpl w:val="C58651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B8223D9"/>
    <w:multiLevelType w:val="hybridMultilevel"/>
    <w:tmpl w:val="67B8837E"/>
    <w:lvl w:ilvl="0" w:tplc="0F1AD870">
      <w:start w:val="1"/>
      <w:numFmt w:val="decimal"/>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8647148">
    <w:abstractNumId w:val="2"/>
  </w:num>
  <w:num w:numId="2" w16cid:durableId="1814177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4413505">
    <w:abstractNumId w:val="3"/>
  </w:num>
  <w:num w:numId="4" w16cid:durableId="966399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74"/>
    <w:rsid w:val="00220119"/>
    <w:rsid w:val="00270CC2"/>
    <w:rsid w:val="002775B3"/>
    <w:rsid w:val="0032022A"/>
    <w:rsid w:val="003B3F07"/>
    <w:rsid w:val="00433466"/>
    <w:rsid w:val="004A0035"/>
    <w:rsid w:val="00567935"/>
    <w:rsid w:val="0068748C"/>
    <w:rsid w:val="007A21E6"/>
    <w:rsid w:val="007D2D04"/>
    <w:rsid w:val="007F090C"/>
    <w:rsid w:val="00855DAA"/>
    <w:rsid w:val="00896DD1"/>
    <w:rsid w:val="00915E4C"/>
    <w:rsid w:val="00A27534"/>
    <w:rsid w:val="00AB3F48"/>
    <w:rsid w:val="00B17C05"/>
    <w:rsid w:val="00C72DC8"/>
    <w:rsid w:val="00D81537"/>
    <w:rsid w:val="00D828F4"/>
    <w:rsid w:val="00DB6B3D"/>
    <w:rsid w:val="00EA59DF"/>
    <w:rsid w:val="00EB3474"/>
    <w:rsid w:val="00FC4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DB3A"/>
  <w15:chartTrackingRefBased/>
  <w15:docId w15:val="{8E78CA18-61EE-408B-99CA-8B462590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474"/>
    <w:pPr>
      <w:spacing w:before="100" w:beforeAutospacing="1" w:after="100" w:afterAutospacing="1" w:line="240" w:lineRule="auto"/>
    </w:pPr>
    <w:rPr>
      <w:rFonts w:ascii="Calibri" w:hAnsi="Calibri" w:cs="Calibri"/>
      <w:lang w:eastAsia="en-CA"/>
    </w:rPr>
  </w:style>
  <w:style w:type="character" w:customStyle="1" w:styleId="s2">
    <w:name w:val="s2"/>
    <w:basedOn w:val="DefaultParagraphFont"/>
    <w:rsid w:val="00EB3474"/>
  </w:style>
  <w:style w:type="paragraph" w:styleId="ListParagraph">
    <w:name w:val="List Paragraph"/>
    <w:basedOn w:val="Normal"/>
    <w:uiPriority w:val="34"/>
    <w:qFormat/>
    <w:rsid w:val="00B17C0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70CC2"/>
    <w:rPr>
      <w:sz w:val="16"/>
      <w:szCs w:val="16"/>
    </w:rPr>
  </w:style>
  <w:style w:type="paragraph" w:styleId="CommentText">
    <w:name w:val="annotation text"/>
    <w:basedOn w:val="Normal"/>
    <w:link w:val="CommentTextChar"/>
    <w:uiPriority w:val="99"/>
    <w:semiHidden/>
    <w:unhideWhenUsed/>
    <w:rsid w:val="00270CC2"/>
    <w:pPr>
      <w:spacing w:line="240" w:lineRule="auto"/>
    </w:pPr>
    <w:rPr>
      <w:sz w:val="20"/>
      <w:szCs w:val="20"/>
    </w:rPr>
  </w:style>
  <w:style w:type="character" w:customStyle="1" w:styleId="CommentTextChar">
    <w:name w:val="Comment Text Char"/>
    <w:basedOn w:val="DefaultParagraphFont"/>
    <w:link w:val="CommentText"/>
    <w:uiPriority w:val="99"/>
    <w:semiHidden/>
    <w:rsid w:val="00270CC2"/>
    <w:rPr>
      <w:sz w:val="20"/>
      <w:szCs w:val="20"/>
    </w:rPr>
  </w:style>
  <w:style w:type="paragraph" w:styleId="CommentSubject">
    <w:name w:val="annotation subject"/>
    <w:basedOn w:val="CommentText"/>
    <w:next w:val="CommentText"/>
    <w:link w:val="CommentSubjectChar"/>
    <w:uiPriority w:val="99"/>
    <w:semiHidden/>
    <w:unhideWhenUsed/>
    <w:rsid w:val="00270CC2"/>
    <w:rPr>
      <w:b/>
      <w:bCs/>
    </w:rPr>
  </w:style>
  <w:style w:type="character" w:customStyle="1" w:styleId="CommentSubjectChar">
    <w:name w:val="Comment Subject Char"/>
    <w:basedOn w:val="CommentTextChar"/>
    <w:link w:val="CommentSubject"/>
    <w:uiPriority w:val="99"/>
    <w:semiHidden/>
    <w:rsid w:val="00270CC2"/>
    <w:rPr>
      <w:b/>
      <w:bCs/>
      <w:sz w:val="20"/>
      <w:szCs w:val="20"/>
    </w:rPr>
  </w:style>
  <w:style w:type="paragraph" w:styleId="Revision">
    <w:name w:val="Revision"/>
    <w:hidden/>
    <w:uiPriority w:val="99"/>
    <w:semiHidden/>
    <w:rsid w:val="00270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9485">
      <w:bodyDiv w:val="1"/>
      <w:marLeft w:val="0"/>
      <w:marRight w:val="0"/>
      <w:marTop w:val="0"/>
      <w:marBottom w:val="0"/>
      <w:divBdr>
        <w:top w:val="none" w:sz="0" w:space="0" w:color="auto"/>
        <w:left w:val="none" w:sz="0" w:space="0" w:color="auto"/>
        <w:bottom w:val="none" w:sz="0" w:space="0" w:color="auto"/>
        <w:right w:val="none" w:sz="0" w:space="0" w:color="auto"/>
      </w:divBdr>
    </w:div>
    <w:div w:id="14794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Harfield</dc:creator>
  <cp:keywords/>
  <dc:description/>
  <cp:lastModifiedBy>Jeanne Harfield</cp:lastModifiedBy>
  <cp:revision>2</cp:revision>
  <dcterms:created xsi:type="dcterms:W3CDTF">2022-05-05T18:27:00Z</dcterms:created>
  <dcterms:modified xsi:type="dcterms:W3CDTF">2022-05-05T18:27:00Z</dcterms:modified>
</cp:coreProperties>
</file>